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558FC" w14:textId="7D0A529E" w:rsidR="0025587B" w:rsidRPr="00217640" w:rsidRDefault="0025587B" w:rsidP="0025587B">
      <w:pPr>
        <w:pStyle w:val="CRCoverPage"/>
        <w:rPr>
          <w:rFonts w:ascii="Times New Roman" w:eastAsiaTheme="minorHAnsi" w:hAnsi="Times New Roman"/>
          <w:b/>
          <w:bCs/>
          <w:sz w:val="24"/>
          <w:szCs w:val="24"/>
          <w:lang w:eastAsia="zh-CN"/>
        </w:rPr>
      </w:pP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3GPP TSG RAN WG1 Meeting #90                                       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="00020303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R1-17</w:t>
      </w:r>
      <w:r w:rsidR="00020303">
        <w:rPr>
          <w:rFonts w:ascii="Times New Roman" w:hAnsi="Times New Roman"/>
          <w:b/>
          <w:bCs/>
          <w:sz w:val="24"/>
          <w:szCs w:val="24"/>
          <w:lang w:eastAsia="zh-CN"/>
        </w:rPr>
        <w:t>1</w:t>
      </w:r>
      <w:r w:rsidR="00AC4F00">
        <w:rPr>
          <w:rFonts w:ascii="Times New Roman" w:hAnsi="Times New Roman"/>
          <w:b/>
          <w:bCs/>
          <w:sz w:val="24"/>
          <w:szCs w:val="24"/>
          <w:lang w:eastAsia="zh-CN"/>
        </w:rPr>
        <w:t>4135</w:t>
      </w:r>
    </w:p>
    <w:p w14:paraId="34C3717F" w14:textId="4E50000C" w:rsidR="0025587B" w:rsidRPr="00217640" w:rsidRDefault="0025587B" w:rsidP="0025587B">
      <w:pPr>
        <w:pStyle w:val="CRCoverPage"/>
        <w:jc w:val="both"/>
        <w:rPr>
          <w:rFonts w:ascii="Times New Roman" w:hAnsi="Times New Roman"/>
          <w:b/>
          <w:bCs/>
          <w:sz w:val="24"/>
          <w:szCs w:val="24"/>
        </w:rPr>
      </w:pP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Prague, Czech Republic, 21</w:t>
      </w:r>
      <w:r w:rsidRPr="00217640">
        <w:rPr>
          <w:rFonts w:ascii="Times New Roman" w:hAnsi="Times New Roman"/>
          <w:b/>
          <w:bCs/>
          <w:sz w:val="24"/>
          <w:szCs w:val="24"/>
          <w:vertAlign w:val="superscript"/>
          <w:lang w:eastAsia="zh-CN"/>
        </w:rPr>
        <w:t>st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– 25</w:t>
      </w:r>
      <w:r w:rsidRPr="00217640">
        <w:rPr>
          <w:rFonts w:ascii="Times New Roman" w:hAnsi="Times New Roman"/>
          <w:b/>
          <w:bCs/>
          <w:sz w:val="24"/>
          <w:szCs w:val="24"/>
          <w:vertAlign w:val="superscript"/>
          <w:lang w:eastAsia="zh-CN"/>
        </w:rPr>
        <w:t>th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August 2017</w:t>
      </w:r>
    </w:p>
    <w:p w14:paraId="2813F82E" w14:textId="77777777" w:rsidR="00DC2E21" w:rsidRPr="00217640" w:rsidRDefault="00DC2E21" w:rsidP="00DC2E21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Times New Roman" w:eastAsia="Batang" w:hAnsi="Times New Roman" w:cs="Times New Roman"/>
          <w:b/>
          <w:sz w:val="18"/>
          <w:szCs w:val="20"/>
          <w:lang w:val="en-GB"/>
        </w:rPr>
      </w:pPr>
    </w:p>
    <w:p w14:paraId="2124D67A" w14:textId="77777777" w:rsidR="00DC2E21" w:rsidRPr="00217640" w:rsidRDefault="00DC2E21" w:rsidP="00DC2E21">
      <w:pPr>
        <w:spacing w:after="0"/>
        <w:ind w:left="1440" w:hanging="1440"/>
        <w:rPr>
          <w:rFonts w:ascii="Times New Roman" w:eastAsia="Batang" w:hAnsi="Times New Roman" w:cs="Times New Roman"/>
          <w:b/>
          <w:sz w:val="20"/>
          <w:szCs w:val="20"/>
          <w:lang w:val="en-GB"/>
        </w:rPr>
      </w:pPr>
    </w:p>
    <w:p w14:paraId="1D44D107" w14:textId="1A472C51" w:rsidR="00DC2E21" w:rsidRPr="00217640" w:rsidRDefault="00DC2E21" w:rsidP="00DC2E21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Agenda item: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0" w:name="Source"/>
      <w:bookmarkEnd w:id="0"/>
      <w:r w:rsidRPr="00217640">
        <w:rPr>
          <w:rFonts w:ascii="Times New Roman" w:hAnsi="Times New Roman" w:cs="Times New Roman"/>
          <w:b/>
          <w:sz w:val="24"/>
        </w:rPr>
        <w:tab/>
      </w:r>
      <w:r w:rsidR="003D0E79" w:rsidRPr="00217640">
        <w:rPr>
          <w:rFonts w:ascii="Times New Roman" w:hAnsi="Times New Roman" w:cs="Times New Roman"/>
          <w:b/>
          <w:sz w:val="24"/>
        </w:rPr>
        <w:t>6</w:t>
      </w:r>
      <w:r w:rsidRPr="00217640">
        <w:rPr>
          <w:rFonts w:ascii="Times New Roman" w:hAnsi="Times New Roman" w:cs="Times New Roman"/>
          <w:b/>
          <w:sz w:val="24"/>
        </w:rPr>
        <w:t>.1.2.1.</w:t>
      </w:r>
      <w:r w:rsidR="00FE0361" w:rsidRPr="00217640">
        <w:rPr>
          <w:rFonts w:ascii="Times New Roman" w:hAnsi="Times New Roman" w:cs="Times New Roman"/>
          <w:b/>
          <w:sz w:val="24"/>
        </w:rPr>
        <w:t>2</w:t>
      </w:r>
    </w:p>
    <w:p w14:paraId="7413B0B0" w14:textId="127556EF" w:rsidR="00DC2E21" w:rsidRPr="00217640" w:rsidRDefault="00DC2E21" w:rsidP="00DC2E21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 xml:space="preserve">Source: </w:t>
      </w:r>
      <w:r w:rsidRPr="00217640">
        <w:rPr>
          <w:rFonts w:ascii="Times New Roman" w:hAnsi="Times New Roman" w:cs="Times New Roman"/>
          <w:b/>
          <w:sz w:val="24"/>
        </w:rPr>
        <w:tab/>
      </w:r>
      <w:r w:rsidRPr="00217640">
        <w:rPr>
          <w:rFonts w:ascii="Times New Roman" w:hAnsi="Times New Roman" w:cs="Times New Roman"/>
          <w:b/>
          <w:sz w:val="24"/>
        </w:rPr>
        <w:tab/>
        <w:t xml:space="preserve">InterDigital </w:t>
      </w:r>
      <w:r w:rsidR="00611125" w:rsidRPr="00217640">
        <w:rPr>
          <w:rFonts w:ascii="Times New Roman" w:hAnsi="Times New Roman" w:cs="Times New Roman"/>
          <w:b/>
          <w:sz w:val="24"/>
        </w:rPr>
        <w:t>Inc.</w:t>
      </w:r>
    </w:p>
    <w:p w14:paraId="326E4427" w14:textId="66459B38" w:rsidR="00DC2E21" w:rsidRPr="00217640" w:rsidRDefault="00DC2E21" w:rsidP="00DC2E21">
      <w:pPr>
        <w:rPr>
          <w:rFonts w:ascii="Times New Roman" w:hAnsi="Times New Roman" w:cs="Times New Roman"/>
          <w:b/>
        </w:rPr>
      </w:pPr>
      <w:r w:rsidRPr="00217640">
        <w:rPr>
          <w:rFonts w:ascii="Times New Roman" w:hAnsi="Times New Roman" w:cs="Times New Roman"/>
          <w:b/>
          <w:sz w:val="24"/>
        </w:rPr>
        <w:t xml:space="preserve">Title: </w:t>
      </w:r>
      <w:r w:rsidRPr="00217640">
        <w:rPr>
          <w:rFonts w:ascii="Times New Roman" w:hAnsi="Times New Roman" w:cs="Times New Roman"/>
          <w:b/>
        </w:rPr>
        <w:tab/>
      </w:r>
      <w:r w:rsidRPr="00217640">
        <w:rPr>
          <w:rFonts w:ascii="Times New Roman" w:hAnsi="Times New Roman" w:cs="Times New Roman"/>
          <w:b/>
        </w:rPr>
        <w:tab/>
      </w:r>
      <w:r w:rsidRPr="00217640">
        <w:rPr>
          <w:rFonts w:ascii="Times New Roman" w:hAnsi="Times New Roman" w:cs="Times New Roman"/>
          <w:b/>
        </w:rPr>
        <w:tab/>
      </w:r>
      <w:r w:rsidR="00CD7FEB" w:rsidRPr="00217640">
        <w:rPr>
          <w:rFonts w:ascii="Times New Roman" w:hAnsi="Times New Roman" w:cs="Times New Roman"/>
          <w:b/>
          <w:bCs/>
          <w:sz w:val="24"/>
        </w:rPr>
        <w:t>TPMI Indication for Frequency Selective UL Precoding</w:t>
      </w:r>
    </w:p>
    <w:p w14:paraId="4B395B84" w14:textId="77777777" w:rsidR="00DC2E21" w:rsidRPr="00217640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Document for: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1" w:name="DocumentFor"/>
      <w:bookmarkEnd w:id="1"/>
      <w:r w:rsidRPr="00217640">
        <w:rPr>
          <w:rFonts w:ascii="Times New Roman" w:hAnsi="Times New Roman" w:cs="Times New Roman"/>
          <w:b/>
          <w:sz w:val="24"/>
        </w:rPr>
        <w:tab/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5BA155BB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>
        <w:rPr>
          <w:rFonts w:ascii="Times" w:hAnsi="Times" w:cs="Times"/>
        </w:rPr>
        <w:t>#89</w:t>
      </w:r>
      <w:r w:rsidRPr="00E56069">
        <w:rPr>
          <w:rFonts w:ascii="Times" w:hAnsi="Times" w:cs="Times"/>
        </w:rPr>
        <w:t xml:space="preserve"> Meeting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 xml:space="preserve">WG1 agreed on the following high level UL codebook design principles as a short list for the final down-selection, </w:t>
      </w:r>
    </w:p>
    <w:p w14:paraId="4F2275E6" w14:textId="77777777" w:rsidR="00C771D9" w:rsidRPr="00C771D9" w:rsidRDefault="00C771D9" w:rsidP="00C771D9">
      <w:pPr>
        <w:numPr>
          <w:ilvl w:val="0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One of the following UL codebook design principles is down-selected until next meeting.</w:t>
      </w:r>
    </w:p>
    <w:p w14:paraId="7811E02D" w14:textId="77777777" w:rsidR="00C771D9" w:rsidRPr="00C771D9" w:rsidRDefault="00C771D9" w:rsidP="00C771D9">
      <w:pPr>
        <w:numPr>
          <w:ilvl w:val="1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Alt1:</w:t>
      </w:r>
    </w:p>
    <w:p w14:paraId="60D22691" w14:textId="77777777" w:rsidR="00C771D9" w:rsidRPr="00C771D9" w:rsidRDefault="00C771D9" w:rsidP="00C771D9">
      <w:pPr>
        <w:numPr>
          <w:ilvl w:val="2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NR supports UL codebook at least for a single panel. </w:t>
      </w:r>
    </w:p>
    <w:p w14:paraId="791E6B34" w14:textId="77777777" w:rsidR="00C771D9" w:rsidRPr="00C771D9" w:rsidRDefault="00C771D9" w:rsidP="00C771D9">
      <w:pPr>
        <w:numPr>
          <w:ilvl w:val="3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Note: This does not preclude the use of components of single panel UL codebook for multi-panel.</w:t>
      </w:r>
    </w:p>
    <w:p w14:paraId="1F03A4A0" w14:textId="77777777" w:rsidR="00C771D9" w:rsidRPr="00C771D9" w:rsidRDefault="00C771D9" w:rsidP="00C771D9">
      <w:pPr>
        <w:numPr>
          <w:ilvl w:val="2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FFS on multi-panel UL codebook</w:t>
      </w:r>
    </w:p>
    <w:p w14:paraId="69CF55FB" w14:textId="77777777" w:rsidR="00C771D9" w:rsidRPr="00C771D9" w:rsidRDefault="00C771D9" w:rsidP="00C771D9">
      <w:pPr>
        <w:numPr>
          <w:ilvl w:val="3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Whether or not support additional components (e.g., panel co-phase)  </w:t>
      </w:r>
    </w:p>
    <w:p w14:paraId="52225F71" w14:textId="77777777" w:rsidR="00C771D9" w:rsidRPr="00C771D9" w:rsidRDefault="00C771D9" w:rsidP="00C771D9">
      <w:pPr>
        <w:numPr>
          <w:ilvl w:val="3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NR supports a UL codebook optimized for single-panel and support multi-panel via indicating multiple TPMIs</w:t>
      </w:r>
    </w:p>
    <w:p w14:paraId="0BB4430D" w14:textId="77777777" w:rsidR="00C771D9" w:rsidRPr="00C771D9" w:rsidRDefault="00C771D9" w:rsidP="00C771D9">
      <w:pPr>
        <w:numPr>
          <w:ilvl w:val="3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Focus on single panel based UL codebook design first, then support multi-panel via selecting a panel via SRI or indicating TPMI per SRS resource.</w:t>
      </w:r>
    </w:p>
    <w:p w14:paraId="1D7D0AC3" w14:textId="77777777" w:rsidR="00C771D9" w:rsidRPr="00C771D9" w:rsidRDefault="00C771D9" w:rsidP="00C771D9">
      <w:pPr>
        <w:numPr>
          <w:ilvl w:val="1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Alt 2: </w:t>
      </w:r>
    </w:p>
    <w:p w14:paraId="6112A7CA" w14:textId="77777777" w:rsidR="00C771D9" w:rsidRPr="00C771D9" w:rsidRDefault="00C771D9" w:rsidP="00C771D9">
      <w:pPr>
        <w:numPr>
          <w:ilvl w:val="2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Focus on designing a common framework UL codebook for single-panel and multi-panel</w:t>
      </w:r>
    </w:p>
    <w:p w14:paraId="23BBDF21" w14:textId="77777777" w:rsidR="00C771D9" w:rsidRPr="00C771D9" w:rsidRDefault="00C771D9" w:rsidP="00C771D9">
      <w:pPr>
        <w:numPr>
          <w:ilvl w:val="1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Alt 3: </w:t>
      </w:r>
    </w:p>
    <w:p w14:paraId="796BBA4B" w14:textId="77777777" w:rsidR="00C771D9" w:rsidRPr="00C771D9" w:rsidRDefault="00C771D9" w:rsidP="00C771D9">
      <w:pPr>
        <w:numPr>
          <w:ilvl w:val="2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Design different UL codebooks for single-panel and multi-panel, respectively.</w:t>
      </w:r>
    </w:p>
    <w:p w14:paraId="34D6D020" w14:textId="77777777" w:rsidR="00C771D9" w:rsidRPr="00C771D9" w:rsidRDefault="00C771D9" w:rsidP="00C771D9">
      <w:pPr>
        <w:numPr>
          <w:ilvl w:val="0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 xml:space="preserve">Codebook details are FFS </w:t>
      </w:r>
    </w:p>
    <w:p w14:paraId="2FFB1F49" w14:textId="77777777" w:rsidR="00C771D9" w:rsidRPr="00C771D9" w:rsidRDefault="00C771D9" w:rsidP="00C771D9">
      <w:pPr>
        <w:numPr>
          <w:ilvl w:val="0"/>
          <w:numId w:val="46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C771D9">
        <w:rPr>
          <w:rFonts w:ascii="Times" w:eastAsia="Batang" w:hAnsi="Times" w:cs="Times New Roman"/>
          <w:i/>
          <w:sz w:val="20"/>
          <w:szCs w:val="20"/>
        </w:rPr>
        <w:t>Existing LTE codebooks should be considered as baseline.</w:t>
      </w:r>
    </w:p>
    <w:p w14:paraId="45397D52" w14:textId="77777777" w:rsidR="00C771D9" w:rsidRDefault="00C771D9" w:rsidP="00A47C00">
      <w:pPr>
        <w:jc w:val="both"/>
        <w:rPr>
          <w:rFonts w:ascii="Times" w:hAnsi="Times" w:cs="Times"/>
        </w:rPr>
      </w:pPr>
    </w:p>
    <w:p w14:paraId="1B677D1C" w14:textId="63234DA5" w:rsidR="004655BB" w:rsidRDefault="004655BB" w:rsidP="00A47C0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Henc</w:t>
      </w:r>
      <w:r w:rsidR="00C771D9">
        <w:rPr>
          <w:rFonts w:ascii="Times" w:hAnsi="Times" w:cs="Times"/>
        </w:rPr>
        <w:t xml:space="preserve">e, the discussion related to the TPMI indication </w:t>
      </w:r>
      <w:r w:rsidR="0010361B">
        <w:rPr>
          <w:rFonts w:ascii="Times" w:hAnsi="Times" w:cs="Times"/>
        </w:rPr>
        <w:t>was postponed</w:t>
      </w:r>
      <w:r>
        <w:rPr>
          <w:rFonts w:ascii="Times" w:hAnsi="Times" w:cs="Times"/>
        </w:rPr>
        <w:t xml:space="preserve"> to a future meeting</w:t>
      </w:r>
      <w:r w:rsidR="0010361B">
        <w:rPr>
          <w:rFonts w:ascii="Times" w:hAnsi="Times" w:cs="Times"/>
        </w:rPr>
        <w:t xml:space="preserve">. </w:t>
      </w:r>
    </w:p>
    <w:p w14:paraId="4C8B999F" w14:textId="22F50161" w:rsidR="00A47C00" w:rsidRDefault="004655BB" w:rsidP="00A47C0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In</w:t>
      </w:r>
      <w:r w:rsidR="0010361B" w:rsidRPr="00E56069">
        <w:rPr>
          <w:rFonts w:ascii="Times" w:hAnsi="Times" w:cs="Times"/>
        </w:rPr>
        <w:t xml:space="preserve"> RAN1 </w:t>
      </w:r>
      <w:r w:rsidR="0010361B">
        <w:rPr>
          <w:rFonts w:ascii="Times" w:hAnsi="Times" w:cs="Times"/>
        </w:rPr>
        <w:t>#88b</w:t>
      </w:r>
      <w:r w:rsidR="0010361B" w:rsidRPr="00E56069">
        <w:rPr>
          <w:rFonts w:ascii="Times" w:hAnsi="Times" w:cs="Times"/>
        </w:rPr>
        <w:t xml:space="preserve"> Meeting</w:t>
      </w:r>
      <w:r w:rsidR="0010361B">
        <w:rPr>
          <w:rFonts w:ascii="Times" w:hAnsi="Times" w:cs="Times"/>
        </w:rPr>
        <w:t xml:space="preserve"> [2]</w:t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>WG1 discuss</w:t>
      </w:r>
      <w:r w:rsidR="00A47C00">
        <w:rPr>
          <w:rFonts w:ascii="Times" w:hAnsi="Times" w:cs="Times"/>
        </w:rPr>
        <w:t xml:space="preserve">ed and </w:t>
      </w:r>
      <w:r w:rsidR="0010361B">
        <w:rPr>
          <w:rFonts w:ascii="Times" w:hAnsi="Times" w:cs="Times"/>
        </w:rPr>
        <w:t xml:space="preserve">agreed on the following </w:t>
      </w:r>
      <w:r w:rsidR="00A47C00">
        <w:rPr>
          <w:rFonts w:ascii="Times" w:hAnsi="Times" w:cs="Times"/>
        </w:rPr>
        <w:t xml:space="preserve">potential options for TPMI indication for codebook-based uplink transmission, </w:t>
      </w:r>
    </w:p>
    <w:p w14:paraId="70EB0FED" w14:textId="08F57B65" w:rsidR="009111B3" w:rsidRPr="00C771D9" w:rsidRDefault="009111B3" w:rsidP="00A47C00">
      <w:pPr>
        <w:pStyle w:val="ListParagraph"/>
        <w:numPr>
          <w:ilvl w:val="0"/>
          <w:numId w:val="41"/>
        </w:numPr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 xml:space="preserve">For codebook based transmission for CP-OFDM based UL, when a UE is configured with UL frequency selective precoding and if subband TPMI signaling is supported, support one of the following alternatives: </w:t>
      </w:r>
    </w:p>
    <w:p w14:paraId="04CEF967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 xml:space="preserve">Alt 1:Subband TPMIs are signaled via DCI to the UE only for allocated PRBs for a given PUSCH transmission </w:t>
      </w:r>
    </w:p>
    <w:p w14:paraId="1342931A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Alt 2:Subband TPMIs are signaled via DCI to the UE for all PRBs in UL, regardless of the actual RA for a given PUSCH transmission</w:t>
      </w:r>
    </w:p>
    <w:p w14:paraId="7C120623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Other alternatives are not precluded</w:t>
      </w:r>
    </w:p>
    <w:p w14:paraId="5A8267AC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Note: Subband TPMI may correspond to W2 if dual-stage codebook is supported</w:t>
      </w:r>
    </w:p>
    <w:p w14:paraId="57D00E2B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FFS whether or not wideband TPMI is always signaled along with subband TPMI</w:t>
      </w:r>
    </w:p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4917ED29" w14:textId="21D2F37B" w:rsidR="009C43B0" w:rsidRPr="009C43B0" w:rsidRDefault="009C43B0" w:rsidP="009C43B0">
      <w:pPr>
        <w:pStyle w:val="2222"/>
        <w:snapToGrid w:val="0"/>
        <w:spacing w:after="120" w:line="240" w:lineRule="auto"/>
        <w:ind w:firstLineChars="0" w:firstLine="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In RAN1 AH2 [3], the subject of TPMI indication was </w:t>
      </w:r>
      <w:r w:rsidR="000F4768">
        <w:rPr>
          <w:rFonts w:eastAsia="SimSun"/>
          <w:sz w:val="22"/>
          <w:lang w:eastAsia="zh-CN"/>
        </w:rPr>
        <w:t>briefly</w:t>
      </w:r>
      <w:r>
        <w:rPr>
          <w:rFonts w:eastAsia="SimSun"/>
          <w:sz w:val="22"/>
          <w:lang w:eastAsia="zh-CN"/>
        </w:rPr>
        <w:t xml:space="preserve"> discussed. It was recommended </w:t>
      </w:r>
      <w:r w:rsidR="00836F8A">
        <w:rPr>
          <w:rFonts w:eastAsia="SimSun"/>
          <w:sz w:val="22"/>
          <w:lang w:eastAsia="zh-CN"/>
        </w:rPr>
        <w:t xml:space="preserve">that </w:t>
      </w:r>
      <w:r>
        <w:rPr>
          <w:rFonts w:eastAsia="SimSun"/>
          <w:sz w:val="22"/>
          <w:lang w:eastAsia="zh-CN"/>
        </w:rPr>
        <w:t xml:space="preserve">the final down-selection of </w:t>
      </w:r>
      <w:r w:rsidR="00836F8A">
        <w:rPr>
          <w:rFonts w:eastAsia="SimSun"/>
          <w:sz w:val="22"/>
          <w:lang w:eastAsia="zh-CN"/>
        </w:rPr>
        <w:t xml:space="preserve">the </w:t>
      </w:r>
      <w:r>
        <w:rPr>
          <w:rFonts w:eastAsia="SimSun"/>
          <w:sz w:val="22"/>
          <w:lang w:eastAsia="zh-CN"/>
        </w:rPr>
        <w:t xml:space="preserve">detection mechanism should be done upon completion of </w:t>
      </w:r>
      <w:r w:rsidR="00C70873">
        <w:rPr>
          <w:rFonts w:eastAsia="SimSun"/>
          <w:sz w:val="22"/>
          <w:lang w:eastAsia="zh-CN"/>
        </w:rPr>
        <w:t xml:space="preserve">the </w:t>
      </w:r>
      <w:r>
        <w:rPr>
          <w:rFonts w:eastAsia="SimSun"/>
          <w:sz w:val="22"/>
          <w:lang w:eastAsia="zh-CN"/>
        </w:rPr>
        <w:t>definition of the related codebook.</w:t>
      </w:r>
    </w:p>
    <w:p w14:paraId="15280403" w14:textId="73993710" w:rsidR="000D6787" w:rsidRDefault="00FF203D" w:rsidP="00FF203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this contribution, we provide our views on the </w:t>
      </w:r>
      <w:r w:rsidR="00A47C00">
        <w:rPr>
          <w:rFonts w:ascii="Times" w:hAnsi="Times" w:cs="Times"/>
        </w:rPr>
        <w:t xml:space="preserve">design of TPMI indication </w:t>
      </w:r>
      <w:r w:rsidR="00FC353F">
        <w:rPr>
          <w:rFonts w:ascii="Times" w:hAnsi="Times" w:cs="Times"/>
        </w:rPr>
        <w:t xml:space="preserve">mechanism </w:t>
      </w:r>
      <w:r w:rsidR="00A47C00">
        <w:rPr>
          <w:rFonts w:ascii="Times" w:hAnsi="Times" w:cs="Times"/>
        </w:rPr>
        <w:t xml:space="preserve">for </w:t>
      </w:r>
      <w:r w:rsidR="00FC353F">
        <w:rPr>
          <w:rFonts w:ascii="Times" w:hAnsi="Times" w:cs="Times"/>
        </w:rPr>
        <w:t xml:space="preserve">frequency selective </w:t>
      </w:r>
      <w:r w:rsidR="00A47C00">
        <w:rPr>
          <w:rFonts w:ascii="Times" w:hAnsi="Times" w:cs="Times"/>
        </w:rPr>
        <w:t>UL codebook</w:t>
      </w:r>
      <w:r w:rsidR="00FC353F">
        <w:rPr>
          <w:rFonts w:ascii="Times" w:hAnsi="Times" w:cs="Times"/>
        </w:rPr>
        <w:t>-based</w:t>
      </w:r>
      <w:r w:rsidR="00A47C00">
        <w:rPr>
          <w:rFonts w:ascii="Times" w:hAnsi="Times" w:cs="Times"/>
        </w:rPr>
        <w:t xml:space="preserve"> transmission. </w:t>
      </w:r>
      <w:r w:rsidR="00FC353F">
        <w:rPr>
          <w:rFonts w:ascii="Times" w:hAnsi="Times" w:cs="Times"/>
        </w:rPr>
        <w:t>As will be discussed, the main criteria for selection of such process are based on potential performance gain and feedback overhead.</w:t>
      </w:r>
    </w:p>
    <w:p w14:paraId="411E7BBD" w14:textId="2EDFC4D3" w:rsidR="00085A01" w:rsidRPr="005066E0" w:rsidRDefault="00765F2E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lastRenderedPageBreak/>
        <w:t xml:space="preserve">TPMI Indication </w:t>
      </w:r>
    </w:p>
    <w:p w14:paraId="47E4836C" w14:textId="5455144A" w:rsidR="00576996" w:rsidRDefault="000342A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LTE, </w:t>
      </w:r>
      <w:r w:rsidR="00306487">
        <w:rPr>
          <w:rFonts w:ascii="Times" w:hAnsi="Times" w:cs="Times"/>
        </w:rPr>
        <w:t>TPMI has bee</w:t>
      </w:r>
      <w:r w:rsidR="007B2942">
        <w:rPr>
          <w:rFonts w:ascii="Times" w:hAnsi="Times" w:cs="Times"/>
        </w:rPr>
        <w:t>n</w:t>
      </w:r>
      <w:r w:rsidR="00306487">
        <w:rPr>
          <w:rFonts w:ascii="Times" w:hAnsi="Times" w:cs="Times"/>
        </w:rPr>
        <w:t xml:space="preserve"> </w:t>
      </w:r>
      <w:r w:rsidR="00305691">
        <w:rPr>
          <w:rFonts w:ascii="Times" w:hAnsi="Times" w:cs="Times"/>
        </w:rPr>
        <w:t xml:space="preserve">effectively </w:t>
      </w:r>
      <w:r w:rsidR="007B2942">
        <w:rPr>
          <w:rFonts w:ascii="Times" w:hAnsi="Times" w:cs="Times"/>
        </w:rPr>
        <w:t>employed</w:t>
      </w:r>
      <w:r w:rsidR="00306487">
        <w:rPr>
          <w:rFonts w:ascii="Times" w:hAnsi="Times" w:cs="Times"/>
        </w:rPr>
        <w:t xml:space="preserve"> as </w:t>
      </w:r>
      <w:r w:rsidR="007B2942">
        <w:rPr>
          <w:rFonts w:ascii="Times" w:hAnsi="Times" w:cs="Times"/>
        </w:rPr>
        <w:t xml:space="preserve">an indicator of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wideband precod</w:t>
      </w:r>
      <w:r w:rsidR="00305691">
        <w:rPr>
          <w:rFonts w:ascii="Times" w:hAnsi="Times" w:cs="Times"/>
        </w:rPr>
        <w:t>er</w:t>
      </w:r>
      <w:r w:rsidR="007B2942">
        <w:rPr>
          <w:rFonts w:ascii="Times" w:hAnsi="Times" w:cs="Times"/>
        </w:rPr>
        <w:t>. For DL transmission</w:t>
      </w:r>
      <w:r w:rsidR="00305691">
        <w:rPr>
          <w:rFonts w:ascii="Times" w:hAnsi="Times" w:cs="Times"/>
        </w:rPr>
        <w:t>s</w:t>
      </w:r>
      <w:r w:rsidR="007B2942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 xml:space="preserve">eNB </w:t>
      </w:r>
      <w:r w:rsidR="00305691">
        <w:rPr>
          <w:rFonts w:ascii="Times" w:hAnsi="Times" w:cs="Times"/>
        </w:rPr>
        <w:t xml:space="preserve">may </w:t>
      </w:r>
      <w:r w:rsidR="007B2942">
        <w:rPr>
          <w:rFonts w:ascii="Times" w:hAnsi="Times" w:cs="Times"/>
        </w:rPr>
        <w:t>utilize</w:t>
      </w:r>
      <w:r>
        <w:rPr>
          <w:rFonts w:ascii="Times" w:hAnsi="Times" w:cs="Times"/>
        </w:rPr>
        <w:t xml:space="preserve"> TPMI to </w:t>
      </w:r>
      <w:r w:rsidR="00765F2E">
        <w:rPr>
          <w:rFonts w:ascii="Times" w:hAnsi="Times" w:cs="Times"/>
        </w:rPr>
        <w:t>override</w:t>
      </w:r>
      <w:r w:rsidR="00576996">
        <w:rPr>
          <w:rFonts w:ascii="Times" w:hAnsi="Times" w:cs="Times"/>
        </w:rPr>
        <w:t xml:space="preserve"> the frequency selective precoders recommended by the UE</w:t>
      </w:r>
      <w:r w:rsidR="007B2942">
        <w:rPr>
          <w:rFonts w:ascii="Times" w:hAnsi="Times" w:cs="Times"/>
        </w:rPr>
        <w:t>, and</w:t>
      </w:r>
      <w:r w:rsidR="00576996">
        <w:rPr>
          <w:rFonts w:ascii="Times" w:hAnsi="Times" w:cs="Times"/>
        </w:rPr>
        <w:t xml:space="preserve"> </w:t>
      </w:r>
      <w:r w:rsidR="00765F2E">
        <w:rPr>
          <w:rFonts w:ascii="Times" w:hAnsi="Times" w:cs="Times"/>
        </w:rPr>
        <w:t>t</w:t>
      </w:r>
      <w:r w:rsidR="00305691">
        <w:rPr>
          <w:rFonts w:ascii="Times" w:hAnsi="Times" w:cs="Times"/>
        </w:rPr>
        <w:t>o</w:t>
      </w:r>
      <w:r w:rsidR="00765F2E">
        <w:rPr>
          <w:rFonts w:ascii="Times" w:hAnsi="Times" w:cs="Times"/>
        </w:rPr>
        <w:t xml:space="preserve"> </w:t>
      </w:r>
      <w:r w:rsidR="00576996">
        <w:rPr>
          <w:rFonts w:ascii="Times" w:hAnsi="Times" w:cs="Times"/>
        </w:rPr>
        <w:t>signal</w:t>
      </w:r>
      <w:r w:rsidR="00305691">
        <w:rPr>
          <w:rFonts w:ascii="Times" w:hAnsi="Times" w:cs="Times"/>
        </w:rPr>
        <w:t xml:space="preserve"> </w:t>
      </w:r>
      <w:r w:rsidR="00E36822">
        <w:rPr>
          <w:rFonts w:ascii="Times" w:hAnsi="Times" w:cs="Times"/>
        </w:rPr>
        <w:t xml:space="preserve">the </w:t>
      </w:r>
      <w:r w:rsidR="00305691">
        <w:rPr>
          <w:rFonts w:ascii="Times" w:hAnsi="Times" w:cs="Times"/>
        </w:rPr>
        <w:t>use of</w:t>
      </w:r>
      <w:r w:rsidR="00576996">
        <w:rPr>
          <w:rFonts w:ascii="Times" w:hAnsi="Times" w:cs="Times"/>
        </w:rPr>
        <w:t xml:space="preserve"> a wideband precod</w:t>
      </w:r>
      <w:r w:rsidR="00305691">
        <w:rPr>
          <w:rFonts w:ascii="Times" w:hAnsi="Times" w:cs="Times"/>
        </w:rPr>
        <w:t>er</w:t>
      </w:r>
      <w:r w:rsidR="00576996">
        <w:rPr>
          <w:rFonts w:ascii="Times" w:hAnsi="Times" w:cs="Times"/>
        </w:rPr>
        <w:t xml:space="preserve"> through the indicated precoder</w:t>
      </w:r>
      <w:r w:rsidR="00305691">
        <w:rPr>
          <w:rFonts w:ascii="Times" w:hAnsi="Times" w:cs="Times"/>
        </w:rPr>
        <w:t xml:space="preserve"> index</w:t>
      </w:r>
      <w:r w:rsidR="00576996">
        <w:rPr>
          <w:rFonts w:ascii="Times" w:hAnsi="Times" w:cs="Times"/>
        </w:rPr>
        <w:t>.</w:t>
      </w:r>
      <w:r w:rsidR="00306487">
        <w:rPr>
          <w:rFonts w:ascii="Times" w:hAnsi="Times" w:cs="Times"/>
        </w:rPr>
        <w:t xml:space="preserve"> </w:t>
      </w:r>
      <w:r w:rsidR="007B2942">
        <w:rPr>
          <w:rFonts w:ascii="Times" w:hAnsi="Times" w:cs="Times"/>
        </w:rPr>
        <w:t>F</w:t>
      </w:r>
      <w:r w:rsidR="00306487">
        <w:rPr>
          <w:rFonts w:ascii="Times" w:hAnsi="Times" w:cs="Times"/>
        </w:rPr>
        <w:t xml:space="preserve">or UL transmission, </w:t>
      </w:r>
      <w:r w:rsidR="007B2942">
        <w:rPr>
          <w:rFonts w:ascii="Times" w:hAnsi="Times" w:cs="Times"/>
        </w:rPr>
        <w:t xml:space="preserve">since frequency selective precoding cannot be applied on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DFT-s-OFDM</w:t>
      </w:r>
      <w:r w:rsidR="00765F2E">
        <w:rPr>
          <w:rFonts w:ascii="Times" w:hAnsi="Times" w:cs="Times"/>
        </w:rPr>
        <w:t xml:space="preserve"> waveform</w:t>
      </w:r>
      <w:r w:rsidR="007B2942">
        <w:rPr>
          <w:rFonts w:ascii="Times" w:hAnsi="Times" w:cs="Times"/>
        </w:rPr>
        <w:t xml:space="preserve">, </w:t>
      </w:r>
      <w:r w:rsidR="00765F2E">
        <w:rPr>
          <w:rFonts w:ascii="Times" w:hAnsi="Times" w:cs="Times"/>
        </w:rPr>
        <w:t xml:space="preserve">the TPMI </w:t>
      </w:r>
      <w:r w:rsidR="00E36822">
        <w:rPr>
          <w:rFonts w:ascii="Times" w:hAnsi="Times" w:cs="Times"/>
        </w:rPr>
        <w:t>signifies</w:t>
      </w:r>
      <w:r w:rsidR="00765F2E">
        <w:rPr>
          <w:rFonts w:ascii="Times" w:hAnsi="Times" w:cs="Times"/>
        </w:rPr>
        <w:t xml:space="preserve"> a</w:t>
      </w:r>
      <w:r w:rsidR="00306487">
        <w:rPr>
          <w:rFonts w:ascii="Times" w:hAnsi="Times" w:cs="Times"/>
        </w:rPr>
        <w:t xml:space="preserve"> wideband precoder </w:t>
      </w:r>
      <w:r w:rsidR="00E36822">
        <w:rPr>
          <w:rFonts w:ascii="Times" w:hAnsi="Times" w:cs="Times"/>
        </w:rPr>
        <w:t>to be</w:t>
      </w:r>
      <w:r w:rsidR="00306487">
        <w:rPr>
          <w:rFonts w:ascii="Times" w:hAnsi="Times" w:cs="Times"/>
        </w:rPr>
        <w:t xml:space="preserve"> use</w:t>
      </w:r>
      <w:r w:rsidR="00E36822">
        <w:rPr>
          <w:rFonts w:ascii="Times" w:hAnsi="Times" w:cs="Times"/>
        </w:rPr>
        <w:t>d</w:t>
      </w:r>
      <w:r w:rsidR="00306487">
        <w:rPr>
          <w:rFonts w:ascii="Times" w:hAnsi="Times" w:cs="Times"/>
        </w:rPr>
        <w:t xml:space="preserve"> by the UE</w:t>
      </w:r>
      <w:r w:rsidR="00305691">
        <w:rPr>
          <w:rFonts w:ascii="Times" w:hAnsi="Times" w:cs="Times"/>
        </w:rPr>
        <w:t xml:space="preserve"> for UL transmissions</w:t>
      </w:r>
      <w:r w:rsidR="00306487">
        <w:rPr>
          <w:rFonts w:ascii="Times" w:hAnsi="Times" w:cs="Times"/>
        </w:rPr>
        <w:t>.</w:t>
      </w:r>
    </w:p>
    <w:p w14:paraId="19BFFE00" w14:textId="75C5B37F" w:rsidR="00590AE7" w:rsidRPr="00DE3141" w:rsidRDefault="00576996" w:rsidP="00590AE7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NR supports CP-OFDM waveform for UL transmission, frequency selective UL precoding </w:t>
      </w:r>
      <w:r w:rsidR="00306487">
        <w:rPr>
          <w:rFonts w:ascii="Times" w:hAnsi="Times" w:cs="Times"/>
        </w:rPr>
        <w:t xml:space="preserve">can be </w:t>
      </w:r>
      <w:r w:rsidR="002B39C6">
        <w:rPr>
          <w:rFonts w:ascii="Times" w:hAnsi="Times" w:cs="Times"/>
        </w:rPr>
        <w:t>considered</w:t>
      </w:r>
      <w:r w:rsidR="00306487">
        <w:rPr>
          <w:rFonts w:ascii="Times" w:hAnsi="Times" w:cs="Times"/>
        </w:rPr>
        <w:t xml:space="preserve"> for UL MIMO. However, </w:t>
      </w:r>
      <w:r>
        <w:rPr>
          <w:rFonts w:ascii="Times" w:hAnsi="Times" w:cs="Times"/>
        </w:rPr>
        <w:t xml:space="preserve">to support </w:t>
      </w:r>
      <w:r w:rsidR="00306487">
        <w:rPr>
          <w:rFonts w:ascii="Times" w:hAnsi="Times" w:cs="Times"/>
        </w:rPr>
        <w:t xml:space="preserve">codebook-based </w:t>
      </w:r>
      <w:r>
        <w:rPr>
          <w:rFonts w:ascii="Times" w:hAnsi="Times" w:cs="Times"/>
        </w:rPr>
        <w:t>frequency selective UL precoding, an efficient TPMI mechanism is required</w:t>
      </w:r>
      <w:r w:rsidR="00306487">
        <w:rPr>
          <w:rFonts w:ascii="Times" w:hAnsi="Times" w:cs="Times"/>
        </w:rPr>
        <w:t xml:space="preserve"> to convey the desired precoding information to a UE</w:t>
      </w:r>
      <w:r>
        <w:rPr>
          <w:rFonts w:ascii="Times" w:hAnsi="Times" w:cs="Times"/>
        </w:rPr>
        <w:t>.</w:t>
      </w:r>
      <w:r w:rsidR="00590AE7">
        <w:rPr>
          <w:rFonts w:ascii="Times" w:hAnsi="Times" w:cs="Times"/>
        </w:rPr>
        <w:t xml:space="preserve"> Hence, for</w:t>
      </w:r>
      <w:r w:rsidR="00590AE7" w:rsidRPr="00DE3141">
        <w:rPr>
          <w:rFonts w:ascii="Times" w:hAnsi="Times" w:cs="Times"/>
        </w:rPr>
        <w:t xml:space="preserve"> an uplink transmission with codebook-based frequency selective precoding, TPMI to be used by the UE </w:t>
      </w:r>
      <w:r w:rsidR="00590AE7">
        <w:rPr>
          <w:rFonts w:ascii="Times" w:hAnsi="Times" w:cs="Times"/>
        </w:rPr>
        <w:t>is</w:t>
      </w:r>
      <w:r w:rsidR="00590AE7" w:rsidRPr="00DE3141">
        <w:rPr>
          <w:rFonts w:ascii="Times" w:hAnsi="Times" w:cs="Times"/>
        </w:rPr>
        <w:t xml:space="preserve"> provided by the gNB. The TPMI indications may be </w:t>
      </w:r>
      <w:r w:rsidR="00E36822">
        <w:rPr>
          <w:rFonts w:ascii="Times" w:hAnsi="Times" w:cs="Times"/>
        </w:rPr>
        <w:t>implement</w:t>
      </w:r>
      <w:r w:rsidR="00590AE7">
        <w:rPr>
          <w:rFonts w:ascii="Times" w:hAnsi="Times" w:cs="Times"/>
        </w:rPr>
        <w:t>ed</w:t>
      </w:r>
      <w:r w:rsidR="00590AE7" w:rsidRPr="00DE3141">
        <w:rPr>
          <w:rFonts w:ascii="Times" w:hAnsi="Times" w:cs="Times"/>
        </w:rPr>
        <w:t xml:space="preserve"> dynamically through L1 or L2 control channel, or a combination thereof. </w:t>
      </w:r>
    </w:p>
    <w:p w14:paraId="067864C6" w14:textId="5A9BC298" w:rsidR="00C16C4D" w:rsidRDefault="00DE314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The most straight forward solution for TPMI indication would be a basic process to convey the PMI per the configured PRG size for the scheduled transmission. </w:t>
      </w:r>
      <w:r w:rsidR="00A0115D">
        <w:rPr>
          <w:rFonts w:ascii="Times" w:hAnsi="Times" w:cs="Times"/>
        </w:rPr>
        <w:t>However i</w:t>
      </w:r>
      <w:r>
        <w:rPr>
          <w:rFonts w:ascii="Times" w:hAnsi="Times" w:cs="Times"/>
        </w:rPr>
        <w:t>n the last RAN1 meeting, some companies expressed their inte</w:t>
      </w:r>
      <w:r w:rsidR="00C34707">
        <w:rPr>
          <w:rFonts w:ascii="Times" w:hAnsi="Times" w:cs="Times"/>
        </w:rPr>
        <w:t>rest</w:t>
      </w:r>
      <w:r>
        <w:rPr>
          <w:rFonts w:ascii="Times" w:hAnsi="Times" w:cs="Times"/>
        </w:rPr>
        <w:t xml:space="preserve"> to extend the </w:t>
      </w:r>
      <w:r w:rsidR="00A0115D">
        <w:rPr>
          <w:rFonts w:ascii="Times" w:hAnsi="Times" w:cs="Times"/>
        </w:rPr>
        <w:t xml:space="preserve">scope of the TPMI </w:t>
      </w:r>
      <w:r>
        <w:rPr>
          <w:rFonts w:ascii="Times" w:hAnsi="Times" w:cs="Times"/>
        </w:rPr>
        <w:t>information</w:t>
      </w:r>
      <w:r w:rsidR="00A0115D">
        <w:rPr>
          <w:rFonts w:ascii="Times" w:hAnsi="Times" w:cs="Times"/>
        </w:rPr>
        <w:t xml:space="preserve"> to also include precoding information of the subbands residing outside the scheduled transmission. It was argued that such provision would potentially result in more flexibility </w:t>
      </w:r>
      <w:r w:rsidR="00E36822">
        <w:rPr>
          <w:rFonts w:ascii="Times" w:hAnsi="Times" w:cs="Times"/>
        </w:rPr>
        <w:t>in</w:t>
      </w:r>
      <w:r w:rsidR="009D0331">
        <w:rPr>
          <w:rFonts w:ascii="Times" w:hAnsi="Times" w:cs="Times"/>
        </w:rPr>
        <w:t xml:space="preserve"> the </w:t>
      </w:r>
      <w:r w:rsidR="00E36822">
        <w:rPr>
          <w:rFonts w:ascii="Times" w:hAnsi="Times" w:cs="Times"/>
        </w:rPr>
        <w:t xml:space="preserve">operation of system, </w:t>
      </w:r>
      <w:r w:rsidR="00A0115D">
        <w:rPr>
          <w:rFonts w:ascii="Times" w:hAnsi="Times" w:cs="Times"/>
        </w:rPr>
        <w:t>should the size and location of the scheduled transmission change.</w:t>
      </w:r>
      <w:r w:rsidR="00D64AB4">
        <w:rPr>
          <w:rFonts w:ascii="Times" w:hAnsi="Times" w:cs="Times"/>
        </w:rPr>
        <w:t xml:space="preserve"> </w:t>
      </w:r>
      <w:r w:rsidR="00DE1E1D">
        <w:rPr>
          <w:rFonts w:ascii="Times" w:hAnsi="Times" w:cs="Times"/>
        </w:rPr>
        <w:t>Since such mechanism increases the DL control overhead, potential benefits of such scheme need to be studied and verified.</w:t>
      </w:r>
    </w:p>
    <w:p w14:paraId="6FDF3CEF" w14:textId="4BEEE723" w:rsidR="00D64AB4" w:rsidRPr="00D41436" w:rsidRDefault="00D64AB4" w:rsidP="004F41F3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>RAN1</w:t>
      </w:r>
      <w:r w:rsidR="004F3288" w:rsidRPr="007312E4">
        <w:rPr>
          <w:rFonts w:ascii="Times" w:hAnsi="Times" w:cs="Times"/>
          <w:i/>
        </w:rPr>
        <w:t xml:space="preserve"> studies</w:t>
      </w:r>
      <w:r w:rsidRPr="007312E4">
        <w:rPr>
          <w:rFonts w:ascii="Times" w:hAnsi="Times" w:cs="Times"/>
          <w:i/>
        </w:rPr>
        <w:t xml:space="preserve"> </w:t>
      </w:r>
      <w:r w:rsidR="004F3288" w:rsidRPr="007312E4">
        <w:rPr>
          <w:rFonts w:ascii="Times" w:hAnsi="Times" w:cs="Times"/>
          <w:i/>
        </w:rPr>
        <w:t xml:space="preserve">and verifies </w:t>
      </w:r>
      <w:r w:rsidRPr="007312E4">
        <w:rPr>
          <w:rFonts w:ascii="Times" w:hAnsi="Times" w:cs="Times"/>
          <w:i/>
        </w:rPr>
        <w:t xml:space="preserve">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AA2CDAA" w14:textId="1C448531" w:rsidR="008A0B24" w:rsidRPr="00DE3141" w:rsidRDefault="008A0B24" w:rsidP="00DE3141">
      <w:pPr>
        <w:jc w:val="both"/>
        <w:rPr>
          <w:rFonts w:ascii="Times" w:hAnsi="Times" w:cs="Times"/>
        </w:rPr>
      </w:pPr>
    </w:p>
    <w:p w14:paraId="570E10A7" w14:textId="56EDB84F" w:rsidR="00180B6F" w:rsidRPr="00DE1E23" w:rsidRDefault="00C34707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Wide-band TPMI Indication</w:t>
      </w:r>
    </w:p>
    <w:p w14:paraId="1C2D0564" w14:textId="19F4296F" w:rsidR="009B4C18" w:rsidRDefault="00DA1135" w:rsidP="009B4C18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>I</w:t>
      </w:r>
      <w:r w:rsidR="00813688">
        <w:rPr>
          <w:rFonts w:ascii="Times" w:hAnsi="Times" w:cs="Times"/>
        </w:rPr>
        <w:t xml:space="preserve">f RAN1 decides to </w:t>
      </w:r>
      <w:r w:rsidR="002B39C6">
        <w:rPr>
          <w:rFonts w:ascii="Times" w:hAnsi="Times" w:cs="Times"/>
        </w:rPr>
        <w:t>accommodate</w:t>
      </w:r>
      <w:r w:rsidR="00813688">
        <w:rPr>
          <w:rFonts w:ascii="Times" w:hAnsi="Times" w:cs="Times"/>
        </w:rPr>
        <w:t xml:space="preserve"> the transmission of precoding information for all PRBs, the design s</w:t>
      </w:r>
      <w:r w:rsidR="009B4C18">
        <w:rPr>
          <w:rFonts w:ascii="Times" w:hAnsi="Times" w:cs="Times"/>
        </w:rPr>
        <w:t xml:space="preserve">hould be efficient and flexible to minimize its impact on the DL control capacity. </w:t>
      </w:r>
    </w:p>
    <w:p w14:paraId="73CEC88B" w14:textId="77433158" w:rsidR="009B4C18" w:rsidRDefault="009B4C18" w:rsidP="009B4C18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example</w:t>
      </w:r>
      <w:r w:rsidRPr="00DE3141">
        <w:rPr>
          <w:rFonts w:ascii="Times" w:hAnsi="Times" w:cs="Times"/>
        </w:rPr>
        <w:t>, assuming single stage precoding, the indicated TPMIs may include narrow-band and wide-band components. The wide-band component may be based on a bandwidth equal or larger than the scheduled transmission.</w:t>
      </w:r>
      <w:r w:rsidR="00D77733">
        <w:rPr>
          <w:rFonts w:ascii="Times" w:hAnsi="Times" w:cs="Times"/>
        </w:rPr>
        <w:t xml:space="preserve"> </w:t>
      </w:r>
      <w:r w:rsidRPr="00DE3141">
        <w:rPr>
          <w:rFonts w:ascii="Times" w:hAnsi="Times" w:cs="Times"/>
        </w:rPr>
        <w:t xml:space="preserve">The information about the wide-band precoder may be indicated </w:t>
      </w:r>
      <w:r w:rsidR="00D77733">
        <w:rPr>
          <w:rFonts w:ascii="Times" w:hAnsi="Times" w:cs="Times"/>
        </w:rPr>
        <w:t xml:space="preserve">by the same DCI that carries the </w:t>
      </w:r>
      <w:r w:rsidR="000F4768">
        <w:rPr>
          <w:rFonts w:ascii="Times" w:hAnsi="Times" w:cs="Times"/>
        </w:rPr>
        <w:t>subband</w:t>
      </w:r>
      <w:r w:rsidR="00D77733">
        <w:rPr>
          <w:rFonts w:ascii="Times" w:hAnsi="Times" w:cs="Times"/>
        </w:rPr>
        <w:t xml:space="preserve"> PMIs, </w:t>
      </w:r>
      <w:r w:rsidRPr="00DE3141">
        <w:rPr>
          <w:rFonts w:ascii="Times" w:hAnsi="Times" w:cs="Times"/>
        </w:rPr>
        <w:t xml:space="preserve">or </w:t>
      </w:r>
      <w:r w:rsidR="00D77733">
        <w:rPr>
          <w:rFonts w:ascii="Times" w:hAnsi="Times" w:cs="Times"/>
        </w:rPr>
        <w:t xml:space="preserve">by MAC CE. </w:t>
      </w:r>
      <w:r w:rsidR="00F56C3B">
        <w:rPr>
          <w:rFonts w:ascii="Times" w:hAnsi="Times" w:cs="Times"/>
        </w:rPr>
        <w:t xml:space="preserve"> Therefore, a UE</w:t>
      </w:r>
      <w:r w:rsidRPr="00DE3141">
        <w:rPr>
          <w:rFonts w:ascii="Times" w:hAnsi="Times" w:cs="Times"/>
        </w:rPr>
        <w:t xml:space="preserve"> decode</w:t>
      </w:r>
      <w:r w:rsidR="00F56C3B">
        <w:rPr>
          <w:rFonts w:ascii="Times" w:hAnsi="Times" w:cs="Times"/>
        </w:rPr>
        <w:t>s</w:t>
      </w:r>
      <w:r w:rsidRPr="00DE3141">
        <w:rPr>
          <w:rFonts w:ascii="Times" w:hAnsi="Times" w:cs="Times"/>
        </w:rPr>
        <w:t xml:space="preserve"> the received narrow-band and wide-band indications at their corresponding rates. In case of a change in resource re-scheduling, a UE may use the available wide-band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="00CE7F06" w:rsidRPr="00DE3141">
        <w:rPr>
          <w:rFonts w:ascii="Times" w:hAnsi="Times" w:cs="Times"/>
        </w:rPr>
        <w:fldChar w:fldCharType="begin"/>
      </w:r>
      <w:r w:rsidR="00CE7F06" w:rsidRPr="00DE3141">
        <w:rPr>
          <w:rFonts w:ascii="Times" w:hAnsi="Times" w:cs="Times"/>
        </w:rPr>
        <w:instrText xml:space="preserve"> REF _Ref480367217 \h  \* MERGEFORMAT </w:instrText>
      </w:r>
      <w:r w:rsidR="00CE7F06" w:rsidRPr="00DE3141">
        <w:rPr>
          <w:rFonts w:ascii="Times" w:hAnsi="Times" w:cs="Times"/>
        </w:rPr>
      </w:r>
      <w:r w:rsidR="00CE7F06" w:rsidRPr="00DE3141">
        <w:rPr>
          <w:rFonts w:ascii="Times" w:hAnsi="Times" w:cs="Times"/>
        </w:rPr>
        <w:fldChar w:fldCharType="separate"/>
      </w:r>
      <w:r w:rsidR="00CE7F06" w:rsidRPr="00DE3141">
        <w:rPr>
          <w:rFonts w:ascii="Times" w:hAnsi="Times" w:cs="Times"/>
        </w:rPr>
        <w:t xml:space="preserve">Figure </w:t>
      </w:r>
      <w:r w:rsidR="00CE7F06">
        <w:rPr>
          <w:rFonts w:ascii="Times" w:hAnsi="Times" w:cs="Times"/>
        </w:rPr>
        <w:t>1</w:t>
      </w:r>
      <w:r w:rsidR="00CE7F06" w:rsidRPr="00DE3141">
        <w:rPr>
          <w:rFonts w:ascii="Times" w:hAnsi="Times" w:cs="Times"/>
        </w:rPr>
        <w:fldChar w:fldCharType="end"/>
      </w:r>
      <w:r w:rsidR="00CE7F06" w:rsidRPr="00DE3141">
        <w:rPr>
          <w:rFonts w:ascii="Times" w:hAnsi="Times" w:cs="Times"/>
        </w:rPr>
        <w:t xml:space="preserve"> shows </w:t>
      </w:r>
      <w:r w:rsidR="00CE7F06">
        <w:rPr>
          <w:rFonts w:ascii="Times" w:hAnsi="Times" w:cs="Times"/>
        </w:rPr>
        <w:t>the basic mechanism</w:t>
      </w:r>
      <w:r w:rsidR="00CE7F06" w:rsidRPr="00DE3141">
        <w:rPr>
          <w:rFonts w:ascii="Times" w:hAnsi="Times" w:cs="Times"/>
        </w:rPr>
        <w:t xml:space="preserve"> where the uplink resource allocation in </w:t>
      </w:r>
      <w:r w:rsidR="000F4768" w:rsidRPr="00DE3141">
        <w:rPr>
          <w:rFonts w:ascii="Times" w:hAnsi="Times" w:cs="Times"/>
        </w:rPr>
        <w:t>subframe</w:t>
      </w:r>
      <w:r w:rsidR="00CE7F06" w:rsidRPr="00DE3141">
        <w:rPr>
          <w:rFonts w:ascii="Times" w:hAnsi="Times" w:cs="Times"/>
        </w:rPr>
        <w:t xml:space="preserve">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="00CE7F06" w:rsidRPr="00DE3141">
        <w:rPr>
          <w:rFonts w:ascii="Times" w:hAnsi="Times" w:cs="Times"/>
        </w:rPr>
        <w:t xml:space="preserve">is different </w:t>
      </w:r>
    </w:p>
    <w:p w14:paraId="4A592FE3" w14:textId="3B0E231F" w:rsidR="00CE7F06" w:rsidRPr="00DE3141" w:rsidRDefault="00CD7B2D" w:rsidP="00CE7F06">
      <w:pPr>
        <w:jc w:val="center"/>
        <w:rPr>
          <w:rFonts w:ascii="Times" w:hAnsi="Times" w:cs="Times"/>
        </w:rPr>
      </w:pPr>
      <w:r w:rsidRPr="00DE3141">
        <w:rPr>
          <w:rFonts w:ascii="Times" w:hAnsi="Times" w:cs="Times"/>
        </w:rPr>
        <w:object w:dxaOrig="8355" w:dyaOrig="3105" w14:anchorId="7D874B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9pt;height:142.8pt" o:ole="">
            <v:imagedata r:id="rId11" o:title=""/>
          </v:shape>
          <o:OLEObject Type="Embed" ProgID="Visio.Drawing.15" ShapeID="_x0000_i1025" DrawAspect="Content" ObjectID="_1563958273" r:id="rId12"/>
        </w:object>
      </w:r>
    </w:p>
    <w:p w14:paraId="5A8EF2A7" w14:textId="77777777" w:rsidR="00CE7F06" w:rsidRPr="007312E4" w:rsidRDefault="00CE7F06" w:rsidP="00CE7F06">
      <w:pPr>
        <w:jc w:val="center"/>
        <w:rPr>
          <w:rFonts w:ascii="Times" w:hAnsi="Times" w:cs="Times"/>
          <w:b/>
          <w:sz w:val="20"/>
        </w:rPr>
      </w:pPr>
      <w:bookmarkStart w:id="2" w:name="_Ref480367217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Pr="007312E4">
        <w:rPr>
          <w:rFonts w:ascii="Times" w:hAnsi="Times" w:cs="Times"/>
          <w:b/>
          <w:noProof/>
          <w:sz w:val="20"/>
        </w:rPr>
        <w:t>1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2"/>
      <w:r w:rsidRPr="007312E4">
        <w:rPr>
          <w:rFonts w:ascii="Times" w:hAnsi="Times" w:cs="Times"/>
          <w:b/>
          <w:sz w:val="20"/>
        </w:rPr>
        <w:t xml:space="preserve"> TPMI indication with narrow- and wide-band components</w:t>
      </w:r>
    </w:p>
    <w:p w14:paraId="28A38B57" w14:textId="30416A56" w:rsidR="00CE7F06" w:rsidRDefault="000F4768" w:rsidP="00CE7F06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lastRenderedPageBreak/>
        <w:t>from</w:t>
      </w:r>
      <w:r w:rsidRPr="00DE3141">
        <w:rPr>
          <w:rFonts w:ascii="Times" w:hAnsi="Times" w:cs="Times"/>
        </w:rPr>
        <w:t xml:space="preserve"> </w:t>
      </w:r>
      <w:r w:rsidR="00CE7F06" w:rsidRPr="00DE3141">
        <w:rPr>
          <w:rFonts w:ascii="Times" w:hAnsi="Times" w:cs="Times"/>
        </w:rPr>
        <w:t>the ones used in su</w:t>
      </w:r>
      <w:bookmarkStart w:id="3" w:name="_GoBack"/>
      <w:bookmarkEnd w:id="3"/>
      <w:r w:rsidR="00CE7F06" w:rsidRPr="00DE3141">
        <w:rPr>
          <w:rFonts w:ascii="Times" w:hAnsi="Times" w:cs="Times"/>
        </w:rPr>
        <w:t xml:space="preserve">bframe </w:t>
      </w:r>
      <m:oMath>
        <m:r>
          <w:rPr>
            <w:rFonts w:ascii="Cambria Math" w:hAnsi="Cambria Math" w:cs="Times"/>
          </w:rPr>
          <m:t>i</m:t>
        </m:r>
      </m:oMath>
      <w:r w:rsidR="00CE7F06">
        <w:rPr>
          <w:rFonts w:ascii="Times" w:hAnsi="Times" w:cs="Times"/>
        </w:rPr>
        <w:t xml:space="preserve">, where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"/>
              </w:rPr>
              <m:t>W(1), W(2), …, W(M)</m:t>
            </m:r>
          </m:e>
        </m:d>
      </m:oMath>
      <w:r w:rsidR="00CE7F06" w:rsidRPr="00DE3141">
        <w:rPr>
          <w:rFonts w:ascii="Times" w:hAnsi="Times" w:cs="Times"/>
        </w:rPr>
        <w:t xml:space="preserve"> represent the M narrow-band precoders,</w:t>
      </w:r>
      <w:r w:rsidR="00CE7F06">
        <w:rPr>
          <w:rFonts w:ascii="Times" w:hAnsi="Times" w:cs="Times"/>
        </w:rPr>
        <w:t xml:space="preserve"> and</w:t>
      </w:r>
      <w:r w:rsidR="00CE7F06" w:rsidRPr="00DE3141">
        <w:rPr>
          <w:rFonts w:ascii="Times" w:hAnsi="Times" w:cs="Times"/>
        </w:rPr>
        <w:t xml:space="preserve">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E7F06" w:rsidRPr="00DE3141">
        <w:rPr>
          <w:rFonts w:ascii="Times" w:hAnsi="Times" w:cs="Times"/>
        </w:rPr>
        <w:t xml:space="preserve"> </w:t>
      </w:r>
      <w:r w:rsidR="00CE7F06">
        <w:rPr>
          <w:rFonts w:ascii="Times" w:hAnsi="Times" w:cs="Times"/>
        </w:rPr>
        <w:t>denotes</w:t>
      </w:r>
      <w:r w:rsidR="00CE7F06" w:rsidRPr="00DE3141">
        <w:rPr>
          <w:rFonts w:ascii="Times" w:hAnsi="Times" w:cs="Times"/>
        </w:rPr>
        <w:t xml:space="preserve"> the wide-band precoder for the entire system bandwidth.</w:t>
      </w:r>
      <w:r w:rsidR="00CE7F06">
        <w:rPr>
          <w:rFonts w:ascii="Times" w:hAnsi="Times" w:cs="Times"/>
        </w:rPr>
        <w:t xml:space="preserve"> </w:t>
      </w:r>
      <w:r w:rsidR="00CE7F06" w:rsidRPr="00DE3141">
        <w:rPr>
          <w:rFonts w:ascii="Times" w:hAnsi="Times" w:cs="Times"/>
        </w:rPr>
        <w:t xml:space="preserve">For transmission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="00CE7F06" w:rsidRPr="00DE3141">
        <w:rPr>
          <w:rFonts w:ascii="Times" w:hAnsi="Times" w:cs="Times"/>
        </w:rPr>
        <w:t xml:space="preserve">, a UE may employ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E7F06" w:rsidRPr="00DE3141">
        <w:rPr>
          <w:rFonts w:ascii="Times" w:hAnsi="Times" w:cs="Times"/>
        </w:rPr>
        <w:t xml:space="preserve"> for precoding of resources at the newly allocated subbands.</w:t>
      </w:r>
      <w:r w:rsidR="00CE7F06" w:rsidRPr="00352DCE">
        <w:rPr>
          <w:rFonts w:ascii="Times" w:hAnsi="Times" w:cs="Times"/>
        </w:rPr>
        <w:t xml:space="preserve"> </w:t>
      </w:r>
    </w:p>
    <w:p w14:paraId="696D0781" w14:textId="651F6E13" w:rsidR="00C60AEA" w:rsidRDefault="00352DCE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Pr="00DE3141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 xml:space="preserve">represents the optimum precoding for the entire band of interest, it may not lead to a notable performance improvement as it lacks sufficient accuracy. Therefore, it would be preferable to split the band into a few parts. For example, the band can be divided into two mid-bands composed of the upper and lower parts. </w:t>
      </w:r>
      <w:r w:rsidR="00C60AEA">
        <w:rPr>
          <w:rFonts w:ascii="Times" w:hAnsi="Times" w:cs="Times"/>
        </w:rPr>
        <w:t xml:space="preserve">Therefore, instead of indication of a single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60AEA">
        <w:rPr>
          <w:rFonts w:ascii="Times" w:eastAsiaTheme="minorEastAsia" w:hAnsi="Times" w:cs="Times"/>
        </w:rPr>
        <w:t xml:space="preserve">, two mid-band precoders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are accompanied are indicated to enhance the accuracy of the precoder. </w:t>
      </w:r>
      <w:r w:rsidR="00C60AEA" w:rsidRPr="00DE3141">
        <w:rPr>
          <w:rFonts w:ascii="Times" w:hAnsi="Times" w:cs="Times"/>
        </w:rPr>
        <w:t xml:space="preserve">The information about the </w:t>
      </w:r>
      <w:r w:rsidR="00C60AEA">
        <w:rPr>
          <w:rFonts w:ascii="Times" w:hAnsi="Times" w:cs="Times"/>
        </w:rPr>
        <w:t>mid</w:t>
      </w:r>
      <w:r w:rsidR="00C60AEA" w:rsidRPr="00DE3141">
        <w:rPr>
          <w:rFonts w:ascii="Times" w:hAnsi="Times" w:cs="Times"/>
        </w:rPr>
        <w:t xml:space="preserve">-band precoder </w:t>
      </w:r>
      <w:r w:rsidR="00C60AEA">
        <w:rPr>
          <w:rFonts w:ascii="Times" w:hAnsi="Times" w:cs="Times"/>
        </w:rPr>
        <w:t>can</w:t>
      </w:r>
      <w:r w:rsidR="00C60AEA" w:rsidRPr="00DE3141">
        <w:rPr>
          <w:rFonts w:ascii="Times" w:hAnsi="Times" w:cs="Times"/>
        </w:rPr>
        <w:t xml:space="preserve"> be indicated </w:t>
      </w:r>
      <w:r w:rsidR="00C60AEA">
        <w:rPr>
          <w:rFonts w:ascii="Times" w:hAnsi="Times" w:cs="Times"/>
        </w:rPr>
        <w:t>by the same DCI that carries the subb</w:t>
      </w:r>
      <w:r w:rsidR="00A7378D">
        <w:rPr>
          <w:rFonts w:ascii="Times" w:hAnsi="Times" w:cs="Times"/>
        </w:rPr>
        <w:t>an</w:t>
      </w:r>
      <w:r w:rsidR="00C60AEA">
        <w:rPr>
          <w:rFonts w:ascii="Times" w:hAnsi="Times" w:cs="Times"/>
        </w:rPr>
        <w:t xml:space="preserve">d PMIs, </w:t>
      </w:r>
      <w:r w:rsidR="00C60AEA" w:rsidRPr="00DE3141">
        <w:rPr>
          <w:rFonts w:ascii="Times" w:hAnsi="Times" w:cs="Times"/>
        </w:rPr>
        <w:t xml:space="preserve">or </w:t>
      </w:r>
      <w:r w:rsidR="00C60AEA">
        <w:rPr>
          <w:rFonts w:ascii="Times" w:hAnsi="Times" w:cs="Times"/>
        </w:rPr>
        <w:t xml:space="preserve">by MAC CE, however a MAC CE transmission may be preferable as it would have any impact on the DCI load. </w:t>
      </w:r>
    </w:p>
    <w:p w14:paraId="66CDF2AA" w14:textId="77777777" w:rsidR="00CE7F06" w:rsidRDefault="00DA1135" w:rsidP="00DA1135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 xml:space="preserve">A UE may decode the received narrow- and mid-band indications at their corresponding rates. In case of a change in resource re-scheduling, a UE may use the available mid-band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 shows an exemplary case of such system where the system bandwidth is segmented into 4 parts. As demonstrated in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, since the uplink resource allocation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Pr="00DE3141">
        <w:rPr>
          <w:rFonts w:ascii="Times" w:hAnsi="Times" w:cs="Times"/>
        </w:rPr>
        <w:t xml:space="preserve">is different from the ones used in subframe </w:t>
      </w:r>
      <m:oMath>
        <m:r>
          <w:rPr>
            <w:rFonts w:ascii="Cambria Math" w:hAnsi="Cambria Math" w:cs="Times"/>
          </w:rPr>
          <m:t>i</m:t>
        </m:r>
      </m:oMath>
      <w:r w:rsidRPr="00DE3141">
        <w:rPr>
          <w:rFonts w:ascii="Times" w:hAnsi="Times" w:cs="Times"/>
        </w:rPr>
        <w:t xml:space="preserve">, a UE may employ the most relevant mid-band precoder,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</w:t>
      </w:r>
      <w:r w:rsidRPr="00DE3141">
        <w:rPr>
          <w:rFonts w:ascii="Times" w:hAnsi="Times" w:cs="Times"/>
        </w:rPr>
        <w:t xml:space="preserve">for precoding of resources at the newly allocated subbands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Pr="00DE3141">
        <w:rPr>
          <w:rFonts w:ascii="Times" w:hAnsi="Times" w:cs="Times"/>
        </w:rPr>
        <w:t>.</w:t>
      </w:r>
    </w:p>
    <w:p w14:paraId="628309BA" w14:textId="4ECC4BC0" w:rsidR="00253EBF" w:rsidRDefault="00253EBF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To avoid unnecessary overhead, the transmission of the wide-band and mid-band PMIs can be limited to when it is actually needed by a simple activation/de-activation DCI bit.</w:t>
      </w:r>
    </w:p>
    <w:p w14:paraId="75FB4759" w14:textId="02029671" w:rsidR="00C60AEA" w:rsidRPr="007312E4" w:rsidRDefault="00C60AEA" w:rsidP="00DA1135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="002F15C3" w:rsidRPr="007312E4">
        <w:rPr>
          <w:rFonts w:ascii="Times" w:hAnsi="Times" w:cs="Times"/>
          <w:i/>
        </w:rPr>
        <w:t xml:space="preserve">Instead of direct indication of precoding information for all PRB, </w:t>
      </w:r>
      <w:r w:rsidRPr="007312E4">
        <w:rPr>
          <w:rFonts w:ascii="Times" w:hAnsi="Times" w:cs="Times"/>
          <w:i/>
        </w:rPr>
        <w:t xml:space="preserve">RAN1 considers </w:t>
      </w:r>
      <w:r w:rsidR="002F15C3" w:rsidRPr="007312E4">
        <w:rPr>
          <w:rFonts w:ascii="Times" w:hAnsi="Times" w:cs="Times"/>
          <w:i/>
        </w:rPr>
        <w:t xml:space="preserve">indication and </w:t>
      </w:r>
      <w:r w:rsidRPr="007312E4">
        <w:rPr>
          <w:rFonts w:ascii="Times" w:hAnsi="Times" w:cs="Times"/>
          <w:i/>
        </w:rPr>
        <w:t xml:space="preserve">use of </w:t>
      </w:r>
      <w:r w:rsidR="007B27E5">
        <w:rPr>
          <w:rFonts w:ascii="Times" w:hAnsi="Times" w:cs="Times"/>
          <w:i/>
        </w:rPr>
        <w:t xml:space="preserve">supplementary </w:t>
      </w:r>
      <w:r w:rsidRPr="007312E4">
        <w:rPr>
          <w:rFonts w:ascii="Times" w:hAnsi="Times" w:cs="Times"/>
          <w:i/>
        </w:rPr>
        <w:t>wide-</w:t>
      </w:r>
      <w:r w:rsidR="002F15C3" w:rsidRPr="007312E4">
        <w:rPr>
          <w:rFonts w:ascii="Times" w:hAnsi="Times" w:cs="Times"/>
          <w:i/>
        </w:rPr>
        <w:t>band and mid-band precoding information.</w:t>
      </w:r>
    </w:p>
    <w:p w14:paraId="726F1188" w14:textId="2BD425FE" w:rsidR="00DA1135" w:rsidRPr="00DE3141" w:rsidRDefault="00B5339E" w:rsidP="00513F54">
      <w:pPr>
        <w:jc w:val="center"/>
        <w:rPr>
          <w:rFonts w:ascii="Times" w:hAnsi="Times" w:cs="Times"/>
        </w:rPr>
      </w:pPr>
      <w:r w:rsidRPr="00DE3141">
        <w:rPr>
          <w:rFonts w:ascii="Times" w:hAnsi="Times" w:cs="Times"/>
        </w:rPr>
        <w:object w:dxaOrig="8355" w:dyaOrig="3105" w14:anchorId="60FCB5A8">
          <v:shape id="_x0000_i1026" type="#_x0000_t75" style="width:368.3pt;height:136.5pt" o:ole="">
            <v:imagedata r:id="rId13" o:title=""/>
          </v:shape>
          <o:OLEObject Type="Embed" ProgID="Visio.Drawing.15" ShapeID="_x0000_i1026" DrawAspect="Content" ObjectID="_1563958274" r:id="rId14"/>
        </w:object>
      </w:r>
    </w:p>
    <w:p w14:paraId="2A007DFA" w14:textId="2EBB8655" w:rsidR="00DA1135" w:rsidRPr="007312E4" w:rsidRDefault="00DA1135" w:rsidP="00C60AEA">
      <w:pPr>
        <w:jc w:val="center"/>
        <w:rPr>
          <w:rFonts w:ascii="Times" w:hAnsi="Times" w:cs="Times"/>
          <w:b/>
          <w:sz w:val="20"/>
        </w:rPr>
      </w:pPr>
      <w:bookmarkStart w:id="4" w:name="_Ref480374758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="00352DCE" w:rsidRPr="007312E4">
        <w:rPr>
          <w:rFonts w:ascii="Times" w:hAnsi="Times" w:cs="Times"/>
          <w:b/>
          <w:noProof/>
          <w:sz w:val="20"/>
        </w:rPr>
        <w:t>2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4"/>
      <w:r w:rsidRPr="007312E4">
        <w:rPr>
          <w:rFonts w:ascii="Times" w:hAnsi="Times" w:cs="Times"/>
          <w:b/>
          <w:sz w:val="20"/>
        </w:rPr>
        <w:t xml:space="preserve"> </w:t>
      </w:r>
      <w:r w:rsidR="00C60AEA" w:rsidRPr="007312E4">
        <w:rPr>
          <w:rFonts w:ascii="Times" w:hAnsi="Times" w:cs="Times"/>
          <w:b/>
          <w:sz w:val="20"/>
        </w:rPr>
        <w:t>TPMI indication with narrow- and wide-band components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3CFBF326" w:rsidR="00B60E7F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64B0FF1C" w14:textId="28F2A074" w:rsidR="002F15C3" w:rsidRPr="007312E4" w:rsidRDefault="002F15C3" w:rsidP="002F15C3">
      <w:pPr>
        <w:jc w:val="both"/>
        <w:rPr>
          <w:rFonts w:ascii="Times" w:hAnsi="Times" w:cs="Times"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 xml:space="preserve">RAN1 studies and verifies 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5F6C41A" w14:textId="56F57EDA" w:rsidR="002F15C3" w:rsidRPr="007312E4" w:rsidRDefault="002F15C3" w:rsidP="002F15C3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Pr="007312E4">
        <w:rPr>
          <w:rFonts w:ascii="Times" w:hAnsi="Times" w:cs="Times"/>
          <w:i/>
        </w:rPr>
        <w:t>Instead of direct indication of precoding information for all PRB, RAN1 considers indication and use of</w:t>
      </w:r>
      <w:r w:rsidR="007B27E5" w:rsidRPr="007B27E5">
        <w:t xml:space="preserve"> </w:t>
      </w:r>
      <w:r w:rsidR="007B27E5" w:rsidRPr="007B27E5">
        <w:rPr>
          <w:rFonts w:ascii="Times" w:hAnsi="Times" w:cs="Times"/>
          <w:i/>
        </w:rPr>
        <w:t>supplementary</w:t>
      </w:r>
      <w:r w:rsidRPr="007312E4">
        <w:rPr>
          <w:rFonts w:ascii="Times" w:hAnsi="Times" w:cs="Times"/>
          <w:i/>
        </w:rPr>
        <w:t xml:space="preserve"> wide-band and mid-band precoding information.</w:t>
      </w: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D062D39" w14:textId="07D7D4EF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5" w:name="_Ref478127360"/>
      <w:r w:rsidRPr="00775D8A">
        <w:rPr>
          <w:rFonts w:ascii="Times" w:hAnsi="Times" w:cs="Times"/>
        </w:rPr>
        <w:t xml:space="preserve">Chairman’s Notes, 3GPP TSG RAN WG1 Meeting </w:t>
      </w:r>
      <w:r>
        <w:rPr>
          <w:rFonts w:ascii="Times" w:hAnsi="Times" w:cs="Times"/>
        </w:rPr>
        <w:t>#89</w:t>
      </w:r>
      <w:r w:rsidRPr="00775D8A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>Hangzhou, China, May</w:t>
      </w:r>
      <w:r w:rsidRPr="00775D8A">
        <w:rPr>
          <w:rFonts w:ascii="Times" w:hAnsi="Times" w:cs="Times"/>
        </w:rPr>
        <w:t xml:space="preserve"> 2017</w:t>
      </w:r>
    </w:p>
    <w:p w14:paraId="30EA32AC" w14:textId="4268714A" w:rsidR="00775D8A" w:rsidRDefault="00775D8A" w:rsidP="00775D8A">
      <w:pPr>
        <w:pStyle w:val="Reference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#88</w:t>
      </w:r>
      <w:r w:rsidR="003A3896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Spokane, USA</w:t>
      </w:r>
      <w:r w:rsidR="009F64E1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April</w:t>
      </w:r>
      <w:r w:rsidRPr="00775D8A">
        <w:rPr>
          <w:rFonts w:ascii="Times" w:hAnsi="Times" w:cs="Times"/>
        </w:rPr>
        <w:t xml:space="preserve"> 2017</w:t>
      </w:r>
      <w:bookmarkEnd w:id="5"/>
    </w:p>
    <w:p w14:paraId="3BCF0D88" w14:textId="74FD8FAD" w:rsidR="00086CCB" w:rsidRPr="00B5339E" w:rsidRDefault="00086CCB" w:rsidP="00B5339E">
      <w:pPr>
        <w:pStyle w:val="Reference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</w:t>
      </w:r>
      <w:r>
        <w:rPr>
          <w:rFonts w:ascii="Times" w:hAnsi="Times" w:cs="Times"/>
        </w:rPr>
        <w:t>AH2</w:t>
      </w:r>
      <w:r w:rsidRPr="00775D8A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>Qingdao, USA, July</w:t>
      </w:r>
      <w:r w:rsidRPr="00775D8A">
        <w:rPr>
          <w:rFonts w:ascii="Times" w:hAnsi="Times" w:cs="Times"/>
        </w:rPr>
        <w:t xml:space="preserve"> 2017</w:t>
      </w:r>
    </w:p>
    <w:sectPr w:rsidR="00086CCB" w:rsidRPr="00B5339E" w:rsidSect="00D550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30705" w14:textId="77777777" w:rsidR="002E5899" w:rsidRDefault="002E5899">
      <w:r>
        <w:separator/>
      </w:r>
    </w:p>
  </w:endnote>
  <w:endnote w:type="continuationSeparator" w:id="0">
    <w:p w14:paraId="02F7B589" w14:textId="77777777" w:rsidR="002E5899" w:rsidRDefault="002E5899">
      <w:r>
        <w:continuationSeparator/>
      </w:r>
    </w:p>
  </w:endnote>
  <w:endnote w:type="continuationNotice" w:id="1">
    <w:p w14:paraId="260E62CB" w14:textId="77777777" w:rsidR="002E5899" w:rsidRDefault="002E58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AEC58" w14:textId="77777777" w:rsidR="00545415" w:rsidRDefault="00545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8CB5E" w14:textId="77777777" w:rsidR="00545415" w:rsidRDefault="00545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78377" w14:textId="77777777" w:rsidR="00545415" w:rsidRDefault="00545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CC021" w14:textId="77777777" w:rsidR="002E5899" w:rsidRDefault="002E5899">
      <w:r>
        <w:separator/>
      </w:r>
    </w:p>
  </w:footnote>
  <w:footnote w:type="continuationSeparator" w:id="0">
    <w:p w14:paraId="26E85C28" w14:textId="77777777" w:rsidR="002E5899" w:rsidRDefault="002E5899">
      <w:r>
        <w:continuationSeparator/>
      </w:r>
    </w:p>
  </w:footnote>
  <w:footnote w:type="continuationNotice" w:id="1">
    <w:p w14:paraId="75B0EC99" w14:textId="77777777" w:rsidR="002E5899" w:rsidRDefault="002E58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6E9E0" w14:textId="77777777" w:rsidR="00545415" w:rsidRDefault="00545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CEF2D" w14:textId="77777777" w:rsidR="00545415" w:rsidRDefault="00545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85B2C" w14:textId="77777777" w:rsidR="00545415" w:rsidRDefault="00545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44F3A"/>
    <w:multiLevelType w:val="hybridMultilevel"/>
    <w:tmpl w:val="E67E02FC"/>
    <w:lvl w:ilvl="0" w:tplc="E62CAE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3E3FB9"/>
    <w:multiLevelType w:val="hybridMultilevel"/>
    <w:tmpl w:val="CD4C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13BDC"/>
    <w:multiLevelType w:val="hybridMultilevel"/>
    <w:tmpl w:val="3F842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221F8"/>
    <w:multiLevelType w:val="hybridMultilevel"/>
    <w:tmpl w:val="557CE540"/>
    <w:lvl w:ilvl="0" w:tplc="074C4E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9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4"/>
  </w:num>
  <w:num w:numId="4">
    <w:abstractNumId w:val="25"/>
  </w:num>
  <w:num w:numId="5">
    <w:abstractNumId w:val="19"/>
  </w:num>
  <w:num w:numId="6">
    <w:abstractNumId w:val="27"/>
  </w:num>
  <w:num w:numId="7">
    <w:abstractNumId w:val="33"/>
  </w:num>
  <w:num w:numId="8">
    <w:abstractNumId w:val="20"/>
  </w:num>
  <w:num w:numId="9">
    <w:abstractNumId w:val="42"/>
  </w:num>
  <w:num w:numId="10">
    <w:abstractNumId w:val="9"/>
  </w:num>
  <w:num w:numId="11">
    <w:abstractNumId w:val="4"/>
  </w:num>
  <w:num w:numId="12">
    <w:abstractNumId w:val="30"/>
  </w:num>
  <w:num w:numId="13">
    <w:abstractNumId w:val="38"/>
  </w:num>
  <w:num w:numId="14">
    <w:abstractNumId w:val="8"/>
  </w:num>
  <w:num w:numId="15">
    <w:abstractNumId w:val="1"/>
  </w:num>
  <w:num w:numId="16">
    <w:abstractNumId w:val="28"/>
  </w:num>
  <w:num w:numId="17">
    <w:abstractNumId w:val="39"/>
  </w:num>
  <w:num w:numId="18">
    <w:abstractNumId w:val="44"/>
  </w:num>
  <w:num w:numId="19">
    <w:abstractNumId w:val="34"/>
  </w:num>
  <w:num w:numId="20">
    <w:abstractNumId w:val="7"/>
  </w:num>
  <w:num w:numId="21">
    <w:abstractNumId w:val="18"/>
  </w:num>
  <w:num w:numId="22">
    <w:abstractNumId w:val="2"/>
  </w:num>
  <w:num w:numId="23">
    <w:abstractNumId w:val="17"/>
  </w:num>
  <w:num w:numId="24">
    <w:abstractNumId w:val="0"/>
  </w:num>
  <w:num w:numId="25">
    <w:abstractNumId w:val="10"/>
  </w:num>
  <w:num w:numId="26">
    <w:abstractNumId w:val="41"/>
  </w:num>
  <w:num w:numId="27">
    <w:abstractNumId w:val="40"/>
  </w:num>
  <w:num w:numId="28">
    <w:abstractNumId w:val="45"/>
  </w:num>
  <w:num w:numId="29">
    <w:abstractNumId w:val="26"/>
  </w:num>
  <w:num w:numId="30">
    <w:abstractNumId w:val="3"/>
  </w:num>
  <w:num w:numId="31">
    <w:abstractNumId w:val="23"/>
  </w:num>
  <w:num w:numId="32">
    <w:abstractNumId w:val="22"/>
  </w:num>
  <w:num w:numId="33">
    <w:abstractNumId w:val="12"/>
  </w:num>
  <w:num w:numId="34">
    <w:abstractNumId w:val="35"/>
  </w:num>
  <w:num w:numId="35">
    <w:abstractNumId w:val="43"/>
  </w:num>
  <w:num w:numId="36">
    <w:abstractNumId w:val="37"/>
  </w:num>
  <w:num w:numId="37">
    <w:abstractNumId w:val="36"/>
  </w:num>
  <w:num w:numId="38">
    <w:abstractNumId w:val="29"/>
  </w:num>
  <w:num w:numId="39">
    <w:abstractNumId w:val="15"/>
  </w:num>
  <w:num w:numId="40">
    <w:abstractNumId w:val="32"/>
  </w:num>
  <w:num w:numId="41">
    <w:abstractNumId w:val="13"/>
  </w:num>
  <w:num w:numId="42">
    <w:abstractNumId w:val="6"/>
  </w:num>
  <w:num w:numId="43">
    <w:abstractNumId w:val="21"/>
  </w:num>
  <w:num w:numId="44">
    <w:abstractNumId w:val="5"/>
  </w:num>
  <w:num w:numId="45">
    <w:abstractNumId w:val="11"/>
  </w:num>
  <w:num w:numId="46">
    <w:abstractNumId w:val="16"/>
  </w:num>
  <w:num w:numId="47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0EA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C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4032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555E"/>
    <w:rsid w:val="0025587B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41F3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7AB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616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1B3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3B29"/>
    <w:rsid w:val="00AB4AB8"/>
    <w:rsid w:val="00AB4BAA"/>
    <w:rsid w:val="00AB52E6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C4D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7B5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54541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54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541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42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1C152C-C811-4AE9-9D0C-A8EC5A5C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1266</Words>
  <Characters>7188</Characters>
  <Application>Microsoft Office Word</Application>
  <DocSecurity>0</DocSecurity>
  <Lines>121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2017-03-24T21:14:00Z</dcterms:created>
  <dcterms:modified xsi:type="dcterms:W3CDTF">2017-08-11T16:05:00Z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